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position w:val="11"/>
          <w:szCs w:val="28"/>
        </w:rPr>
        <w:t>Propozycja</w:t>
      </w:r>
      <w:r>
        <w:rPr>
          <w:rFonts w:cs="Humanst521EU"/>
          <w:b/>
          <w:bCs/>
          <w:color w:val="000000"/>
          <w:szCs w:val="28"/>
        </w:rPr>
        <w:t xml:space="preserve"> rozkładu materiału nauczania z biologii dla klasy 6 szkoły podstawowej </w:t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  <w:t xml:space="preserve">oparta na </w:t>
      </w:r>
      <w:r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>
        <w:rPr>
          <w:rFonts w:cs="Humanst521EU"/>
          <w:b/>
          <w:bCs/>
          <w:color w:val="000000"/>
          <w:szCs w:val="28"/>
        </w:rPr>
        <w:t>autorstwa Anny Zdziennickiej</w:t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</w:r>
    </w:p>
    <w:tbl>
      <w:tblPr>
        <w:tblStyle w:val="Tabela-Siatka"/>
        <w:tblW w:w="14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0"/>
        <w:gridCol w:w="3213"/>
        <w:gridCol w:w="2728"/>
        <w:gridCol w:w="1472"/>
        <w:gridCol w:w="2945"/>
        <w:gridCol w:w="2251"/>
      </w:tblGrid>
      <w:tr>
        <w:trPr/>
        <w:tc>
          <w:tcPr>
            <w:tcW w:w="1620" w:type="dxa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C45911" w:themeColor="accent2" w:themeShade="bf"/>
                <w:sz w:val="20"/>
                <w:szCs w:val="20"/>
              </w:rPr>
              <w:t>Dział programu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color w:val="C45911" w:themeColor="accent2" w:themeShade="bf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C45911" w:themeColor="accent2" w:themeShade="bf"/>
                <w:sz w:val="20"/>
                <w:szCs w:val="20"/>
              </w:rPr>
              <w:t>Treści nauczania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color w:val="C45911" w:themeColor="accent2" w:themeShade="bf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C45911" w:themeColor="accent2" w:themeShade="bf"/>
                <w:sz w:val="20"/>
                <w:szCs w:val="20"/>
              </w:rPr>
              <w:t>Cele edukacyjne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color w:val="C45911" w:themeColor="accent2" w:themeShade="bf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C45911" w:themeColor="accent2" w:themeShade="bf"/>
                <w:sz w:val="20"/>
                <w:szCs w:val="20"/>
              </w:rPr>
              <w:t>Zapis w nowej podstawie programowej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color w:val="C45911" w:themeColor="accent2" w:themeShade="bf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C45911" w:themeColor="accent2" w:themeShade="bf"/>
                <w:sz w:val="20"/>
                <w:szCs w:val="20"/>
              </w:rPr>
              <w:t>Proponowane procedury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C45911" w:themeColor="accent2" w:themeShade="bf"/>
                <w:sz w:val="20"/>
                <w:szCs w:val="20"/>
              </w:rPr>
              <w:t>osiągania celów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C45911" w:themeColor="accent2" w:themeShade="bf"/>
                <w:sz w:val="20"/>
                <w:szCs w:val="20"/>
              </w:rPr>
              <w:t>Proponowane środki dydaktyczne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/>
                <w:color w:val="C45911" w:themeColor="accent2" w:themeShade="bf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I. Świat zwierząt</w:t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1. W królestwie zwierząt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wspólne cechy zwierząt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poziomy organizacji ciała zwierząt: komórka, tkanki, narządy, układy narządów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grupy systematyczne zwierząt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charakterystyczne grup zwierząt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ustalenie wspólnych cech zwierząt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wykazanie stopniowego komplikowania się poziomów organizacji ciała zwierząt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przypomnienie wiadomości z przyrody o grupach systematycznych w obrębie królestwa zwierząt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prezentowanie cech charakterystycznych dla wskazanych grup zwierząt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II.7.1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burza mózgów na temat wspólnych cech zwierząt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gra dydaktyczna </w:t>
            </w:r>
            <w:r>
              <w:rPr>
                <w:rFonts w:cs="Calibri" w:ascii="Calibri" w:hAnsi="Calibri"/>
                <w:i/>
                <w:iCs/>
                <w:sz w:val="20"/>
                <w:szCs w:val="20"/>
              </w:rPr>
              <w:t>Od komórki do organizmu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wyszukiwanie informacji w różnych źródłach na temat danej grupy zwierząt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przygotowanie wystąpienia na wskazany temat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ilustracje różnych gatunków zwierząt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tablica interaktywna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atlasy zwierząt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albumowe wydania książek, w których przedstawiono poszczególne grupy zwierząt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2. Tkanka nabłonkowa, mięśniowa i nerwowa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rodzaje tkanek zwierzęcych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budowa i funkcje tkanki nabłonkowej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budowa i sposób pracy tkanki mięśniowej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elementy budowy i funkcje komórek nerwowych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wykazanie związku między budową tkanek zwierzęcych a pełnionymi przez nie funkcjami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określanie miejsca występowania omawianych tkanek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budowy i sposobu pracy tkanki mięśniowej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budowy i funkcji komórek nerwowych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ćwiczenie umiejętności poprawnego mikroskopowania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ćwiczenie umiejętności rysowania obrazu spod mikroskopu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II.7.1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wskazywanie miejsca występowania omawianych tkanek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obserwacje mikroskopowe tkanek zwierzęcych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rysowanie tkanek zwierzęcych zaobserwowanych pod mikroskopem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schematów przedstawiających budowę poszczególnych tkanek zwierzęcych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sprzęt do mikroskopowania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preparaty trwałe tkanek zwierzęcych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ilustracje przedstawiające występowanie omawianych tkanek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3. Tkanka łączna</w:t>
            </w:r>
          </w:p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rodzaje i miejsca występowania tkanki łącznej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funkcje tkanki kostnej, chrzęstnej i tłuszczowej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charakterystyczne budowy poszczególnych tkanek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krew, jej składniki i ich znaczenie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budowy różnych rodzajów tkanki łącznej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wskazanie miejsc występowania omawianych tkanek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doskonalenie umiejętności poprawnego mikroskopowania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II.7.1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obserwacje mikroskopowe różnych rodzajów tkanki łącznej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mapa mentalna – związek między budową poszczególnych tkanek zwierzęcych a pełnionymi przez nie funkcjami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sprzęt do mikroskopowania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preparaty trwałe tkanek łącznych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tablica interaktywna lub płyta multimedialna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6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 xml:space="preserve">4. Podsumowanie wiadomości 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6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 xml:space="preserve">5. Sprawdzenie wiadomości 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II. Od parzydełkowców do pierścienic</w:t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6. Parzydełkowce – najprostsze zwierzęta tkankowe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środowisko życia parzydełkowców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budowa morfologiczna parzydełkowców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wspólne parzydełkowców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parzydełkowców w przyrodzie i dla człowieka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wskazanie miejsc występowania parzydełkowców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poznanie charakterystycznych cech budowy parzydełkowców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wskazanie różnic w budowie polipa i meduzy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znaczenia parzydełkowców w przyrodzie i dla człowieka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II.7.2, 8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makroskopowa obserwacja wybranego przedstawiciela parzydełkowców, np. stułbi płowej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schematów przedstawiających budowę parzydełkowców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naturalnych okazów szkieletów koralowców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dyskusja nad znaczeniem parzydełkowców w przyrodzie i dla człowieka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stułbi płowej w hodowli lub na filmie edukacyjnym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materiały edukacyjne Narodowego Muzeum Morskiego w Gdańsku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foliogramy i plansze przedstawiające budowę parzydełkowców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szkielety koralowców</w:t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7. Płazińce – zwierzęta, które mają płaskie ciało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środowisko życia płazińców 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charakterystyczne budowy płazińców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przystosowania tasiemców do pasożytniczego trybu życia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drogi zarażenia płazińcami pasożytniczymi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sposoby zapobiegania zarażeniu się tasiemcem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płazińców w przyrodzie i dla człowieka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wskazanie środowiska życia płazińców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poznanie budowy morfologicznej i czynności życiowych płazińców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wykazanie związku między budową płazińców a trybem ich życia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dróg zarażenia się chorobami wywoływanymi przez płazińce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znaczenia płazińców w przyrodzie i dla człowieka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II.7.3, 8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obserwacja różnych przedstawicieli płazińców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rozpoznawanie czynności życiowych płazińców – żywy okaz lub na filmie edukacyjnym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wyszukiwanie informacji na temat chorób wywoływanych przez płazińce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preparaty mokre, np. tasiemca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żywego okazu wypławka lub na filmie przyrodniczym,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różne źródła informacji na temat płazińców (encyklopedia zdrowia, słowniki, internet)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materiały edukacyjne oświaty zdrowotnej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8. Nicienie – zwierzęta, które mają nitkowate ciało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środowisko i tryb życia nicieni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charakterystyczne nicieni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budowa zewnętrzna nicieni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choroby wywoływane przez nicienie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drogi zarażenia nicieniami pasożytniczymi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profilaktyka chorób wywoływanych przez nicienie 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przegląd nicieni i ich znaczenie w przyrodzie i dla człowieka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poznawanie środowiska i trybu życia nicieni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wskazanie cech charakterystycznych budowy nicieni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obserwowanie czynności życiowych nicieni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poznanie dróg zarażenia się chorobami wywoływanymi przez nicienie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omówienie znaczenia profilaktyki chorób wywoływanych przez nicienie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wskazanie znaczenia nicieni w przyrodzie i dla człowieka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II.7.4, 8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analiza budowy zewnętrznej nicieni – w hodowli lub na filmie edukacyjnym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czynności życiowych nicieni – w hodowli lub na filmie edukacyjnym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dyskusja na temat „choroby brudnych rąk”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wyszukiwanie informacji na temat znaczenia profilaktyki zakażeń chorobami wywoływanymi przez nicienie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rozmowa dydaktyczna na temat znaczenia nicieni w przyrodzie i dla człowieka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hodowle nicieni, np. węgorka octowego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foliogramy multimedialne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cyfrowe zasoby internetowe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encyklopedia zdrowia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materiały edukacyjne oświaty zdrowotnej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9. Pierścienice – zwierzęta, które mają segmentowane ciało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środowisko życia pierścienic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budowy zewnętrznej pierścienic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przegląd pierścienic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wspólne pierścienic oraz ich zróżnicowanie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pierścienic w przyrodzie i dla człowieka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poznawanie środowisk życia pierścienic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prezentowanie cech wspólnych i różnic między pierścienicami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budowy i czynności życiowych pierścienic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rozpoznawanie pierścienic wśród innych zwierząt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znaczenia pierścienic w przyrodzie i dla człowieka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II.7.5, 8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zakładanie i prowadzenie hodowli dżdżownic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budowy, czynności życiowych oraz wpływu dżdżownic na strukturę gleby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rozpoznawanie pierścienic wśród innych zwierząt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wyszukiwanie informacji o pierścienicach w różnych źródłach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mapa mentalna na temat znaczenia pierścienic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sprzęt do założenia hodowli dżdżownic: szklane naczynie, różne rodzaje gleby, suche liście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lupy do obserwacji szczecinek i otworu gębowego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sprzęt do prowadzenia obserwacji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filmy przyrodnicze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6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 xml:space="preserve">10. Podsumowanie wiadomości 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6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11. Sprawdzenie wiadomości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Pa2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III. Stawonogi i mięczaki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12. Cechy stawonogów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zróżnicowanie środowisk występowania stawonogów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charakterystyczne budowy stawonogów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zróżnicowanie budowy stawonogów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podstawa podziału stawonogów na skorupiaki, owady i pajęczaki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adaptacyjne stawonogów, umożliwiające im opanowanie różnych środowisk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wskazanie różnorodności środowisk życia stawonogów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wykazanie jedności i różnorodności budowy oraz czynności życiowych stawonogów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cech adaptacyjnych stawonogów, umożliwiającychim opanowanie różnych środowisk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II.7.6, 8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żywych okazów stawonogów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schematów przedstawiających budowę ciała stawonogów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budowy szkieletów stawonogów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praca w grupach – przygotowanie plakatu lub portfolio na temat jedności i różnorodności w świecie stawonogów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zajęcia terenowe połączone z obserwacją żywych okazów stawonogów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rozpoznawanie stawonogów przy pomocy atlasów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żywe okazy stawonogów, np. muchy, pająka, motyla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preparaty mokre, np. raka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gabloty z okazami stawonogów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szkielety stawonogów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foliogramy i plansze przedstawiające budowę ciała stawonogów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klucze do oznaczania i rozpoznawania stawonogów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13. Skorupiaki – stawonogi, które mają twardy pancerz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środowisko życia skorupiaków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charakterystyczne budowy zewnętrznej wybranych skorupiaków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wybrane czynności życiowe skorupiaków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skorupiaków w przyrodzie i dla człowieka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środowiska życia skorupiaków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budowy zewnętrznej wybranych przedstawicieli skorupiaków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scharakteryzowanie wybranych czynności życiowych skorupiaków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wskazanie znaczenia skorupiaków w przyrodzie i dla człowieka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II.7.6, 8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żywych przedstawicieli skorupiaków w naturze lub na filmie edukacyjnym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ćwiczenia w rozpoznawaniu skorupiaków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dyskusja nad znaczeniem skorupiaków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suche lub mokre preparaty zwierząt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szkielety pąkli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zdjęcia skorupiaków pochodzące z różnych źródeł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tablica lub płyta multimedialna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14. Owady – stawonogi zdolne do lotu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miejsce występowania owadów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zróżnicowany tryb życia owadów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charakterystyczne budowy wybranych gatunków owadów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sposoby odżywiania się owadów 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przystosowania owadów do pobierania pokarmu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przystosowania owadów do życia w różnych środowiskach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owadów w przyrodzie i dla człowieka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wskazanie środowisk życia owadów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poznanie zróżnicowanego trybu życia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wyszukiwanie w budowie morfologicznej cech adaptacyjnych do różnych warunków środowiska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zróżnicowania budowy aparatów gębowych u różnego rodzaju owadów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obserwowanie przedstawicieli owadów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rozpoznawanie pospolitych owadów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znaczenia owadów w przyrodzie i dla człowieka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II.7.6, 8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czynności życiowych owadów – żywe okazy lub na filmie edukacyjnym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rozpoznawaniegatunków owadów na podstawie atlasów i kluczy pospolitych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wykazanie cech adaptacyjnych owadów na podstawie filmów przyrodniczych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wyszukiwanie w różnych źródłach informacji dotyczących znaczenia owadów – także na temat form pasożytniczych i szkodników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debata na temat znaczenia owadów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gabloty z okazami owadów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materiały ilustracyjne z różnych źródeł: zasoby internetowe, atlasy, klucze do oznaczania owadów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15. Pajęczaki – stawonogi, które mają cztery pary odnóży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miejsce występowania pajęczaków 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tryb życia różnych pajęczaków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charakterystyczne budowy wybranych przedstawicieli pajęczaków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pajęczaków w przyrodzie i dla człowieka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wskazanie środowisk występowania pajęczaków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charakterystycznych cech budowy pajęczaków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różnych trybów życia pajęczaków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wykazanie cech budowy pajęczaków na podstawie wybranych przedstawicieli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sposobów odżywiania pajęczaków na przykładzie wybranych przedstawicieli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znaczenia pajęczaków w przyrodzie i dla człowieka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II.7.6, 8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wyszukiwanie pajęczaków w najbliższym otoczeniu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czynności życiowych pajęczaków – żywych okazów lub na filmach edukacyjnych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rozpoznawanie pajęczaków wśród innych stawonogów, klasyfikowanie ich na podstawie cech morfologicznych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cyfrowe zasoby internetowe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atlasy, klucze do oznaczania stawonogów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16. Mięczaki – zwierzęta, które mają muszlę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miejsce występowania mięczaków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tryb życia mięczaków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wygląd zewnętrzny mięczaków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wspólne cechy mięczaków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różnice w budowie ślimaków, małży i głowonogów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mięczaków w przyrodzie i dla człowieka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poznawanie środowisk życia mięczaków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opisanie budowy zewnętrznej ślimaków, małży i głowonogów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wykazanie różnicy w budowie poszczególnych grup mięczaków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znaczenia mięczaków w przyrodzie i dla człowieka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II.7.7, 8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obserwacja mięczaków – żywe okazy lub na filmach edukacyjnych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budowy ciała mięczaków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cs="Calibri" w:ascii="Calibri" w:hAnsi="Calibri"/>
                <w:sz w:val="20"/>
                <w:szCs w:val="20"/>
              </w:rPr>
              <w:t>obserwacja budowy szkieletów mięczaków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cs="Calibri" w:ascii="Calibri" w:hAnsi="Calibri"/>
                <w:sz w:val="20"/>
                <w:szCs w:val="20"/>
              </w:rPr>
              <w:t>praca w grupach – podobieństwa i różnice w budowie oraz czynnościach życiowych mięczaków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cs="Calibri" w:ascii="Calibri" w:hAnsi="Calibri"/>
                <w:sz w:val="20"/>
                <w:szCs w:val="20"/>
              </w:rPr>
              <w:t>zestawianie tabelaryczne cech morfologicznych mięczaków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cs="Calibri" w:ascii="Calibri" w:hAnsi="Calibri"/>
                <w:sz w:val="20"/>
                <w:szCs w:val="20"/>
              </w:rPr>
              <w:t>rozpoznawanie mięczaków na podstawie klucza zawartego podręczniku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podręcznik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cs="Calibri" w:ascii="Calibri" w:hAnsi="Calibri"/>
                <w:sz w:val="20"/>
                <w:szCs w:val="20"/>
              </w:rPr>
              <w:t>okazy naturalne lub preparaty mokre mięczaków, np. szczeżui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okazy naturalne muszli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foliogramy i plansze przedstawiające budowę ciała mięczaków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tablica lub płyta multimedialna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6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17. Podsumowanie wiadomości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6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18. Sprawdzenie wiadomości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IV. Kręgowce zmiennocieplne</w:t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19. Ryby – kręgowce środowisk wodnych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środowisko życia ryb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przystosowania ryb do życia w wodzie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wymiana gazowa u ryb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ryby jako zwierzęta zmiennocieplne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rozmnażanie się i rozwój ryb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wykazanie zależności między budową ryb a środowiskiem ich życia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wyjaśnienie, czym jest zmiennocieplność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poznanie sposobu przeprowadzania wymiany gazowej u ryb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definiowanie tarła jako charakterystycznego sposobu rozmnażania ryb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II.7.9, 14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obserwacje okazów ryb – w akwarium lub na filmie edukacyjnym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rozmowa dydaktyczna na temat związku między budową ryb a środowiskiem ich życia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praca w grupach nad zagadnieniem przystosowania ryb do pełnienia funkcji życiowych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prowadzenie hodowli ryb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tablica lub płyta multimedialna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filmy edukacyjne z serii </w:t>
            </w:r>
            <w:r>
              <w:rPr>
                <w:rFonts w:cs="Calibri" w:ascii="Calibri" w:hAnsi="Calibri"/>
                <w:i/>
                <w:iCs/>
                <w:sz w:val="20"/>
                <w:szCs w:val="20"/>
              </w:rPr>
              <w:t>Widziane z bliska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kolekcja łusek różnych gatunków ryb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akwariowa hodowla ryb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20. Przegląd i znaczenie ryb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zróżnicowanie budowy ryb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związek między budową ryb a trybem ich życia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strategie zdobywania pokarmu przez ryby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ryb w przyrodzie i dla człowieka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sposoby ochrony ryb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wykazanie związku między budową ciała ryb a zajmowanym siedliskiem i trybem życia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wyjaśnienie strategii zdobywania pokarmu przez ryby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określenie znaczenia ryb w przyrodzie i dla człowieka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uzasadnienie konieczności ochrony ryb morskich i słodkowodnych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II.7.9, 14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ćwiczenia w samodzielnym wyszukiwaniu informacji dotyczących znaczenia ryb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rozmowa dydaktyczna na temat potrzeby ochrony ryb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zwiedzenie – jeśli to możliwe – Narodowego Muzeum Morskiego w Gdańsku lub wystawy akwarystycznej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teksty źródłowe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cyfrowe zasoby internetowe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atlasy ryb morskich i słodkowodnych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akwariowa hodowla ryb z różnych siedlisk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 xml:space="preserve">21. Płazy – kręgowce </w:t>
            </w:r>
          </w:p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wodno-lądowe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środowisko życia płazów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przystosowania płazów do życia w wodzie i na lądzie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płazy jako zwierzęta zmiennocieplne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rozmnażanie się i rozwój płazów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wskazanie miejsc bytowania płazów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wykazanie sposobów przystosowania się płazów do życia w wodzie i na lądzie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sposobu wymiany gazowej u płazów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wyjaśnienie, na czym polega rola skóry w wymianie gazowej płazów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sposobu rozmnażania i rozwoju płazów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II.7.10, 14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przedstawicieli płazówna filmie przyrodniczym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pogadanka na temat związku między budową płazów a środowiskiem ich życia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mapa mentalna – przystosowania płazów do życia w dwóch środowiskach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płyta lub tablica multimedialna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materiały ilustracyjne z różnych źródeł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22. Przegląd i znaczenie płazów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zróżnicowanie budowy i trybu życia płazów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charakterystyka płazów beznogich, ogoniastych i bezogonowych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gatunki płazów żyjących w Polsce 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płazów w przyrodzie i dla człowieka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sposoby ochrony płazów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omówienie zróżnicowania budowy płazów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poznanie i rozpoznawanie gatunków płazów żyjących w Polsce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znaczenia płazów w przyrodzie i dla człowieka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wskazanie głównych zagrożeń dla płazów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przedstawienie sposobów ochrony płazów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II.7.10, 14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ćwiczenia w samodzielnym wyszukiwaniu informacji na temat znaczenia płazów w różnych źródłach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ćwiczenia w klasyfikowaniu zwierząt do odpowiednich grup systematycznych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zasoby internetowe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klucze oraz przewodniki do oznaczania płazów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23. Gady – kręgowce, które opanowały ląd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środowisko życia gadów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przystosowania gadów do życia na lądzie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zmiennocieplność gadów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rozmnażanie i rozwój gadów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wskazanie środowiska życia gadów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przedstawienie cech wspólnych charakteryzujących gady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wyjaśnienie, czym jest odrętwienie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przystosowań gadów do życia na lądzie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sposobu wymiany gazowej u gadów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rozmnażania i rozwoju gadów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II.7.11, 14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przedstawicieli gadów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wylinek gadów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pogadanka na temat związku między budową gadów a środowiskiem ich życia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i porównywanie pokrycia ciała gadów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okazy naturalne pokrycia ciała gadów: wylinki, łuski, pancerz żółwia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plansze i foliogramy z budową gadów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film przyrodniczy, np. z serii </w:t>
            </w:r>
            <w:r>
              <w:rPr>
                <w:rFonts w:cs="Calibri" w:ascii="Calibri" w:hAnsi="Calibri"/>
                <w:i/>
                <w:iCs/>
                <w:sz w:val="20"/>
                <w:szCs w:val="20"/>
              </w:rPr>
              <w:t>Widziane z bliska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24. Przegląd i znaczenie gadów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zróżnicowanie w budowie zewnętrznej gadów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tryb życia gadów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gatunki gadów żyjących w Polsce 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sposoby ochrony gadów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gadów w przyrodziei dla człowieka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poznanie różnorodności gadów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wykazanie związku między sposobem rozmnażania i typem rozwoju a środowiskiem życia gadów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poznawanie i rozpoznawanie gadów żyjących w Polsce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znaczenia gadów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wskazanie zagrożeń dla gadów i sposobów ich ochrony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II.7.11, 14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pogadanka na temat związku między budową gadów a środowiskiem ich życia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i porównywanie pokrycia ciała gadów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mapa mentalna – przystosowanie gadów do życia na lądzie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oglądanie filmu edukacyjnego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klucze oraz przewodniki do oznaczania i rozpoznawania pospolitych gatunków zwierząt kręgowych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film przyrodniczy, np. z serii </w:t>
            </w:r>
            <w:r>
              <w:rPr>
                <w:rFonts w:cs="Calibri" w:ascii="Calibri" w:hAnsi="Calibri"/>
                <w:i/>
                <w:iCs/>
                <w:sz w:val="20"/>
                <w:szCs w:val="20"/>
              </w:rPr>
              <w:t>Widziane z bliska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6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25. Podsumowanie wiadomości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6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26. Sprawdzenie wiadomości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27. Ptaki – kręgowce zdolne do lotu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środowisko życia ptaków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cechy charakterystyczne ptaków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budowa i przystosowania ptaków do lotu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rodzaje piór i ich budowa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wymiana gazowa u ptaków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rozmnażanie i rozwój ptaków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opieka nad potomstwem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wykazanie różnorodności środowisk życia ptaków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zdefiniowanie ptaków jako zwierząt stałocieplnych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związku między budową ptaków a ich przystosowaniem do lotu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omówienie budowy piór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wykazanie związku między przebiegiem wymiany gazowej u ptaków a ich przystosowaniem do lotu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rozmnażania i rozwoju ptaków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II.7.12, 14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czynności życiowych ptaków – żywe okazy lub na filmie edukacyjnym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budowy ptaków w związku z przystosowaniem do lotu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pogadanka na temat związku między budową ptaków a środowiskiem ich życia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wskazywanie różnic w budowie piór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mapa mentalna – przystosowania ptaków do lotu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obserwacja budowy jaja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szkielet lub kości ptaka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różne rodzaje piór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lupy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film edukacyjny o życiu ptaków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jajo kurze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28. Przegląd i znaczenie ptaków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zróżnicowanie budowy zewnętrznej ptaków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związek między budową ptaków a środowiskiem ich życia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ptaków w przyrodzie i dla człowieka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sposoby ochrony ptaków 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obserwowanie czynności życiowych ptaków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wykazanie związku między budową ptaków a zajmowanymi środowiskami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znaczenia ptaków w przyrodzie i dla człowieka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uzasadnienie potrzeby ochrony ptaków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II.7.12, 14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rozpoznawanie w terenie pospolitych gatunków ptaków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analizowanie związku między budową ptaków a zajmowanymi przez nie środowiskami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rozmowa dydaktyczna na temat znaczenia ptaków i potrzeby ich ochrony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tablica lub płyta multimedialna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filmy przyrodnicze z serii </w:t>
            </w:r>
            <w:r>
              <w:rPr>
                <w:rFonts w:cs="Calibri" w:ascii="Calibri" w:hAnsi="Calibri"/>
                <w:i/>
                <w:iCs/>
                <w:sz w:val="20"/>
                <w:szCs w:val="20"/>
              </w:rPr>
              <w:t>Widziane z bliska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klucze, atlasy i przewodniki do rozpoznawania ptaków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29. Ssaki – kręgowce, które karmią młode mlekiem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różnorodność środowisk życia ssaków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wspólne cechy budowy ssaków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skóra i jej wytwory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wymiana gazowa u ssaków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rozmnażanie i rozwój ssaków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poznanie budowy ssaków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wykazanie związku między budową skóry ssaków a pełnioną przez nią funkcją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związku między budową płuc ssaków a sprawnością wymiany gazowej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charakteryzowanie rozmnażania i rozwoju ssaków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II.7.13,14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mapa mentalna – przystosowanie ssaków do życia na lądzie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wyszukiwanie w różnych źródłach informacji na temat przedstawicieli różnych rzędów ssaków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okazy wytworów naskórka ssaków: kopyta, rogi, włosy, pazury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encyklopedie, słowniki, internet, klucze, atlasy i przewodniki do rozpoznawania ssaków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1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30. Przegląd i znaczenie ssaków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zróżnicowanie budowy ssaków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przystosowania ssaków do życia w różnych środowiskach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znaczenie ssaków w przyrodzie i dla człowieka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główne zagrożenia dla ssaków </w:t>
            </w:r>
          </w:p>
          <w:p>
            <w:pPr>
              <w:pStyle w:val="Defaul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sposoby ochrony ssaków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wskazanie jedności i różnorodności wśród ssaków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zrozumienie związku między budową ssaków a środowiskiem i trybem ich życia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znaczenia ssaków w życiu i gospodarce człowieka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omówienie głównych zagrożeń dla ssaków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uzasadnienie potrzeby ochrony ssaków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II.7.13,14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94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zajęcia terenowe (wycieczka do zoo) połączone z obserwacją zwierząt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pogadanka na temat odpowiedzialności za zwierzęta hodowane w domu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burza mózgów – znaczenie ssaków w gospodarce i życiu człowieka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dyskusja na temat ochrony ssaków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podręcznik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klucze, atlasy i przewodniki do rozpoznawania ssaków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lupy, lornetki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karty pracy do zajęć terenowych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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zasoby internetowe, np. na temat różnorodności biologicznej w Polsce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6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31. Podsumowanie wiadomości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6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32. Sprawdzenie wiadomości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Autorka</w:t>
      </w:r>
      <w:bookmarkStart w:id="0" w:name="_GoBack"/>
      <w:r>
        <w:rPr>
          <w:b/>
        </w:rPr>
        <w:t>:</w:t>
      </w:r>
      <w:bookmarkEnd w:id="0"/>
      <w:r>
        <w:rPr/>
        <w:t xml:space="preserve"> Elżbieta Mazurek </w:t>
      </w:r>
    </w:p>
    <w:sectPr>
      <w:footerReference w:type="default" r:id="rId2"/>
      <w:type w:val="nextPage"/>
      <w:pgSz w:orient="landscape" w:w="16838" w:h="11906"/>
      <w:pgMar w:left="1418" w:right="1418" w:header="0" w:top="1418" w:footer="709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  <w:font w:name="Humanst521EU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opka1"/>
      <w:jc w:val="center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11" wp14:anchorId="3CAAD35E">
              <wp:simplePos x="0" y="0"/>
              <wp:positionH relativeFrom="column">
                <wp:posOffset>-360045</wp:posOffset>
              </wp:positionH>
              <wp:positionV relativeFrom="paragraph">
                <wp:posOffset>-35560</wp:posOffset>
              </wp:positionV>
              <wp:extent cx="3097530" cy="382270"/>
              <wp:effectExtent l="1270" t="1905" r="0" b="0"/>
              <wp:wrapNone/>
              <wp:docPr id="1" name="Group 1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720" cy="381600"/>
                      </a:xfrm>
                    </wpg:grpSpPr>
                    <pic:pic xmlns:pic="http://schemas.openxmlformats.org/drawingml/2006/picture">
                      <pic:nvPicPr>
                        <pic:cNvPr id="0" name="Picture 16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7640"/>
                          <a:ext cx="528480" cy="36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596160" y="0"/>
                          <a:ext cx="250056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val="pl-PL"/>
                              </w:rPr>
                              <w:t>www.dlanauczyciela.pl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val="pl-PL"/>
                              </w:rPr>
                              <w:t>© Copyright by Nowa Era Sp. z o.o.</w:t>
                            </w:r>
                          </w:p>
                        </w:txbxContent>
                      </wps:txbx>
                      <wps:bodyPr lIns="144000" rIns="0" tIns="3636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8" style="position:absolute;margin-left:-28.35pt;margin-top:-2.8pt;width:243.85pt;height:30.05pt" coordorigin="-567,-56" coordsize="4877,601">
              <v:rect id="shape_0" ID="Picture 16" stroked="f" style="position:absolute;left:-567;top:-28;width:831;height:572">
                <v:imagedata r:id="rId1" o:detectmouseclick="t"/>
                <w10:wrap type="none"/>
                <v:stroke color="#3465a4" joinstyle="round" endcap="flat"/>
              </v:rect>
              <v:rect id="shape_0" ID="Text Box 17" fillcolor="white" stroked="f" style="position:absolute;left:372;top:-56;width:3937;height:566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4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 w:cs=""/>
                          <w:lang w:val="pl-PL"/>
                        </w:rPr>
                        <w:t>www.dlanauczyciela.pl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4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 w:cs=""/>
                          <w:lang w:val="pl-PL"/>
                        </w:rPr>
                        <w:t>© Copyright by Nowa Era Sp. z o.o.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</v:group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09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c09b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Footnotereference">
    <w:name w:val="footnote reference"/>
    <w:semiHidden/>
    <w:qFormat/>
    <w:rsid w:val="007c09b4"/>
    <w:rPr>
      <w:b/>
      <w:sz w:val="18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7c09b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c09b4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Znakinumeracji" w:customStyle="1">
    <w:name w:val="Znaki numeracji"/>
    <w:qFormat/>
    <w:rsid w:val="007c09b4"/>
    <w:rPr/>
  </w:style>
  <w:style w:type="character" w:styleId="Znakiwypunktowania" w:customStyle="1">
    <w:name w:val="Znaki wypunktowania"/>
    <w:qFormat/>
    <w:rsid w:val="007c09b4"/>
    <w:rPr>
      <w:rFonts w:ascii="OpenSymbol" w:hAnsi="OpenSymbol" w:eastAsia="OpenSymbol" w:cs="OpenSymbol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7c09b4"/>
    <w:rPr>
      <w:rFonts w:ascii="Times New Roman" w:hAnsi="Times New Roman" w:eastAsia="Andale Sans UI" w:cs="Tahoma"/>
      <w:lang w:val="de-DE" w:eastAsia="ja-JP" w:bidi="fa-IR"/>
    </w:rPr>
  </w:style>
  <w:style w:type="character" w:styleId="TekstkomentarzaZnak1" w:customStyle="1">
    <w:name w:val="Tekst komentarza Znak1"/>
    <w:basedOn w:val="DefaultParagraphFont"/>
    <w:uiPriority w:val="99"/>
    <w:semiHidden/>
    <w:qFormat/>
    <w:rsid w:val="007c09b4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7c09b4"/>
    <w:rPr>
      <w:rFonts w:ascii="Times New Roman" w:hAnsi="Times New Roman" w:eastAsia="Andale Sans UI" w:cs="Tahoma"/>
      <w:b/>
      <w:bCs/>
      <w:lang w:val="de-DE" w:eastAsia="ja-JP" w:bidi="fa-IR"/>
    </w:rPr>
  </w:style>
  <w:style w:type="character" w:styleId="TematkomentarzaZnak1" w:customStyle="1">
    <w:name w:val="Temat komentarza Znak1"/>
    <w:basedOn w:val="TekstkomentarzaZnak1"/>
    <w:uiPriority w:val="99"/>
    <w:semiHidden/>
    <w:qFormat/>
    <w:rsid w:val="007c09b4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TekstdymkaZnak" w:customStyle="1">
    <w:name w:val="Tekst dymka Znak"/>
    <w:link w:val="Tekstdymka"/>
    <w:uiPriority w:val="99"/>
    <w:semiHidden/>
    <w:qFormat/>
    <w:rsid w:val="007c09b4"/>
    <w:rPr>
      <w:rFonts w:ascii="Tahoma" w:hAnsi="Tahoma" w:eastAsia="Andale Sans UI" w:cs="Tahoma"/>
      <w:sz w:val="16"/>
      <w:szCs w:val="16"/>
      <w:lang w:val="de-DE" w:eastAsia="ja-JP" w:bidi="fa-IR"/>
    </w:rPr>
  </w:style>
  <w:style w:type="character" w:styleId="TekstdymkaZnak1" w:customStyle="1">
    <w:name w:val="Tekst dymka Znak1"/>
    <w:basedOn w:val="DefaultParagraphFont"/>
    <w:uiPriority w:val="99"/>
    <w:semiHidden/>
    <w:qFormat/>
    <w:rsid w:val="007c09b4"/>
    <w:rPr>
      <w:rFonts w:ascii="Segoe UI" w:hAnsi="Segoe UI" w:eastAsia="Times New Roman" w:cs="Segoe UI"/>
      <w:sz w:val="18"/>
      <w:szCs w:val="18"/>
      <w:lang w:val="en-US"/>
    </w:rPr>
  </w:style>
  <w:style w:type="character" w:styleId="PlandokumentuZnak" w:customStyle="1">
    <w:name w:val="Plan dokumentu Znak"/>
    <w:link w:val="Plandokumentu"/>
    <w:uiPriority w:val="99"/>
    <w:semiHidden/>
    <w:qFormat/>
    <w:rsid w:val="007c09b4"/>
    <w:rPr>
      <w:rFonts w:ascii="Tahoma" w:hAnsi="Tahoma" w:eastAsia="Andale Sans UI" w:cs="Tahoma"/>
      <w:sz w:val="16"/>
      <w:szCs w:val="16"/>
      <w:lang w:val="de-DE" w:eastAsia="ja-JP" w:bidi="fa-IR"/>
    </w:rPr>
  </w:style>
  <w:style w:type="character" w:styleId="Annotationreference">
    <w:name w:val="annotation reference"/>
    <w:uiPriority w:val="99"/>
    <w:semiHidden/>
    <w:unhideWhenUsed/>
    <w:qFormat/>
    <w:rsid w:val="007c09b4"/>
    <w:rPr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22"/>
      <w:szCs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sz w:val="22"/>
      <w:szCs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sz w:val="22"/>
      <w:szCs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sz w:val="22"/>
      <w:szCs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sz w:val="22"/>
      <w:szCs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sz w:val="22"/>
      <w:szCs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sz w:val="22"/>
      <w:szCs w:val="22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sz w:val="22"/>
      <w:szCs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sz w:val="22"/>
      <w:szCs w:val="22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sz w:val="22"/>
      <w:szCs w:val="22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sz w:val="22"/>
      <w:szCs w:val="22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sz w:val="22"/>
      <w:szCs w:val="22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sz w:val="22"/>
      <w:szCs w:val="22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sz w:val="22"/>
      <w:szCs w:val="22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sz w:val="22"/>
      <w:szCs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rsid w:val="007c09b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7c09b4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82228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rsid w:val="007c09b4"/>
    <w:pPr>
      <w:widowControl w:val="false"/>
      <w:tabs>
        <w:tab w:val="center" w:pos="4252" w:leader="none"/>
        <w:tab w:val="right" w:pos="8504" w:leader="none"/>
      </w:tabs>
      <w:spacing w:before="0" w:after="120"/>
      <w:jc w:val="both"/>
    </w:pPr>
    <w:rPr>
      <w:szCs w:val="20"/>
      <w:lang w:val="pl-PL" w:eastAsia="pl-PL"/>
    </w:rPr>
  </w:style>
  <w:style w:type="paragraph" w:styleId="Footnotetext">
    <w:name w:val="footnote text"/>
    <w:basedOn w:val="Normal"/>
    <w:link w:val="TekstprzypisudolnegoZnak"/>
    <w:semiHidden/>
    <w:qFormat/>
    <w:rsid w:val="007c09b4"/>
    <w:pPr>
      <w:widowControl w:val="false"/>
      <w:suppressAutoHyphens w:val="true"/>
      <w:ind w:left="227" w:hanging="227"/>
    </w:pPr>
    <w:rPr>
      <w:sz w:val="20"/>
      <w:szCs w:val="20"/>
      <w:lang w:val="pl-PL" w:eastAsia="pl-PL"/>
    </w:rPr>
  </w:style>
  <w:style w:type="paragraph" w:styleId="Standard" w:customStyle="1">
    <w:name w:val="Standard"/>
    <w:qFormat/>
    <w:rsid w:val="007c09b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Stopka">
    <w:name w:val="Footer"/>
    <w:basedOn w:val="Normal"/>
    <w:link w:val="StopkaZnak"/>
    <w:uiPriority w:val="99"/>
    <w:unhideWhenUsed/>
    <w:rsid w:val="007c09b4"/>
    <w:pPr>
      <w:tabs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Standard"/>
    <w:qFormat/>
    <w:rsid w:val="007c09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7c09b4"/>
    <w:pPr>
      <w:spacing w:before="0" w:after="120"/>
    </w:pPr>
    <w:rPr/>
  </w:style>
  <w:style w:type="paragraph" w:styleId="Legenda1" w:customStyle="1">
    <w:name w:val="Legenda1"/>
    <w:basedOn w:val="Standard"/>
    <w:qFormat/>
    <w:rsid w:val="007c09b4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7c09b4"/>
    <w:pPr>
      <w:suppressLineNumbers/>
    </w:pPr>
    <w:rPr/>
  </w:style>
  <w:style w:type="paragraph" w:styleId="Nagwektabeli" w:customStyle="1">
    <w:name w:val="Nagłówek tabeli"/>
    <w:basedOn w:val="Zawartotabeli"/>
    <w:qFormat/>
    <w:rsid w:val="007c09b4"/>
    <w:pPr>
      <w:jc w:val="center"/>
    </w:pPr>
    <w:rPr>
      <w:b/>
      <w:bCs/>
    </w:rPr>
  </w:style>
  <w:style w:type="paragraph" w:styleId="Stopka1" w:customStyle="1">
    <w:name w:val="Stopka1"/>
    <w:basedOn w:val="Standard"/>
    <w:qFormat/>
    <w:rsid w:val="007c09b4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c09b4"/>
    <w:pPr>
      <w:widowControl w:val="false"/>
      <w:suppressAutoHyphens w:val="true"/>
      <w:textAlignment w:val="baseline"/>
    </w:pPr>
    <w:rPr>
      <w:rFonts w:eastAsia="Andale Sans UI" w:cs="Tahoma"/>
      <w:sz w:val="22"/>
      <w:szCs w:val="22"/>
      <w:lang w:val="de-DE" w:eastAsia="ja-JP" w:bidi="fa-IR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c09b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c09b4"/>
    <w:pPr>
      <w:widowControl w:val="false"/>
      <w:suppressAutoHyphens w:val="true"/>
      <w:textAlignment w:val="baseline"/>
    </w:pPr>
    <w:rPr>
      <w:rFonts w:ascii="Tahoma" w:hAnsi="Tahoma" w:eastAsia="Andale Sans UI" w:cs="Tahoma"/>
      <w:sz w:val="16"/>
      <w:szCs w:val="16"/>
      <w:lang w:val="de-DE" w:eastAsia="ja-JP" w:bidi="fa-IR"/>
    </w:rPr>
  </w:style>
  <w:style w:type="paragraph" w:styleId="Plandokumentu" w:customStyle="1">
    <w:name w:val="Plan dokumentu"/>
    <w:basedOn w:val="Normal"/>
    <w:link w:val="PlandokumentuZnak"/>
    <w:uiPriority w:val="99"/>
    <w:semiHidden/>
    <w:unhideWhenUsed/>
    <w:qFormat/>
    <w:rsid w:val="007c09b4"/>
    <w:pPr>
      <w:widowControl w:val="false"/>
      <w:suppressAutoHyphens w:val="true"/>
      <w:textAlignment w:val="baseline"/>
    </w:pPr>
    <w:rPr>
      <w:rFonts w:ascii="Tahoma" w:hAnsi="Tahoma" w:eastAsia="Andale Sans UI" w:cs="Tahoma"/>
      <w:sz w:val="16"/>
      <w:szCs w:val="16"/>
      <w:lang w:val="de-DE" w:eastAsia="ja-JP" w:bidi="fa-IR"/>
    </w:rPr>
  </w:style>
  <w:style w:type="paragraph" w:styleId="StopkaCopyright" w:customStyle="1">
    <w:name w:val="Stopka Copyright"/>
    <w:basedOn w:val="Normal"/>
    <w:qFormat/>
    <w:rsid w:val="007c09b4"/>
    <w:pPr>
      <w:jc w:val="both"/>
    </w:pPr>
    <w:rPr>
      <w:rFonts w:ascii="Roboto" w:hAnsi="Roboto" w:eastAsia="Calibri"/>
      <w:iCs/>
      <w:color w:val="000000"/>
      <w:sz w:val="16"/>
      <w:szCs w:val="18"/>
      <w:lang w:val="pl-PL"/>
    </w:rPr>
  </w:style>
  <w:style w:type="paragraph" w:styleId="Revision">
    <w:name w:val="Revision"/>
    <w:uiPriority w:val="99"/>
    <w:semiHidden/>
    <w:qFormat/>
    <w:rsid w:val="007c09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Pa20" w:customStyle="1">
    <w:name w:val="Pa20"/>
    <w:basedOn w:val="Normal"/>
    <w:uiPriority w:val="99"/>
    <w:qFormat/>
    <w:rsid w:val="007c09b4"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Pa21" w:customStyle="1">
    <w:name w:val="Pa21"/>
    <w:basedOn w:val="Normal"/>
    <w:uiPriority w:val="99"/>
    <w:qFormat/>
    <w:rsid w:val="007c09b4"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Default" w:customStyle="1">
    <w:name w:val="Default"/>
    <w:qFormat/>
    <w:rsid w:val="007c09b4"/>
    <w:pPr>
      <w:widowControl/>
      <w:bidi w:val="0"/>
      <w:spacing w:lineRule="auto" w:line="240" w:before="0" w:after="0"/>
      <w:jc w:val="left"/>
    </w:pPr>
    <w:rPr>
      <w:rFonts w:ascii="Humanst521EU" w:hAnsi="Humanst521EU" w:cs="Humanst521EU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822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746D-ED2E-4137-B33C-9F28E689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LibreOffice/5.1.6.2$Windows_x86 LibreOffice_project/07ac168c60a517dba0f0d7bc7540f5afa45f0909</Application>
  <Pages>10</Pages>
  <Words>3052</Words>
  <CharactersWithSpaces>18313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2019-08-12T09:35:00Z</dcterms:created>
  <dc:creator>Roksana Blech</dc:creator>
  <dc:description/>
  <dc:language>pl-PL</dc:language>
  <cp:lastModifiedBy>Dorota Dąbrowska-Mróz</cp:lastModifiedBy>
  <dcterms:modified xsi:type="dcterms:W3CDTF">2019-08-12T09:41:00Z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